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D89" w:rsidRDefault="00CF2D89" w:rsidP="00E5116B">
      <w:pPr>
        <w:spacing w:after="0"/>
        <w:rPr>
          <w:rFonts w:cs="Times New Roman"/>
          <w:shd w:val="clear" w:color="auto" w:fill="FDFDFD"/>
        </w:rPr>
      </w:pPr>
      <w:r>
        <w:rPr>
          <w:rFonts w:cs="Times New Roman"/>
          <w:shd w:val="clear" w:color="auto" w:fill="FDFDFD"/>
        </w:rPr>
        <w:t xml:space="preserve">Name </w:t>
      </w:r>
    </w:p>
    <w:p w:rsidR="00CF2D89" w:rsidRDefault="00CF2D89" w:rsidP="00E5116B">
      <w:pPr>
        <w:spacing w:after="0"/>
        <w:rPr>
          <w:rFonts w:cs="Times New Roman"/>
          <w:shd w:val="clear" w:color="auto" w:fill="FDFDFD"/>
        </w:rPr>
      </w:pPr>
      <w:r>
        <w:rPr>
          <w:rFonts w:cs="Times New Roman"/>
          <w:shd w:val="clear" w:color="auto" w:fill="FDFDFD"/>
        </w:rPr>
        <w:t>Professor’s Name</w:t>
      </w:r>
    </w:p>
    <w:p w:rsidR="00CF2D89" w:rsidRDefault="00CF2D89" w:rsidP="00E5116B">
      <w:pPr>
        <w:spacing w:after="0"/>
        <w:rPr>
          <w:rFonts w:cs="Times New Roman"/>
          <w:shd w:val="clear" w:color="auto" w:fill="FDFDFD"/>
        </w:rPr>
      </w:pPr>
      <w:r>
        <w:rPr>
          <w:rFonts w:cs="Times New Roman"/>
          <w:shd w:val="clear" w:color="auto" w:fill="FDFDFD"/>
        </w:rPr>
        <w:t>Course Number</w:t>
      </w:r>
    </w:p>
    <w:p w:rsidR="00CF2D89" w:rsidRDefault="00CF2D89" w:rsidP="00E5116B">
      <w:pPr>
        <w:spacing w:after="0"/>
        <w:rPr>
          <w:rFonts w:cs="Times New Roman"/>
          <w:shd w:val="clear" w:color="auto" w:fill="FDFDFD"/>
        </w:rPr>
      </w:pPr>
      <w:r>
        <w:rPr>
          <w:rFonts w:cs="Times New Roman"/>
          <w:shd w:val="clear" w:color="auto" w:fill="FDFDFD"/>
        </w:rPr>
        <w:t>Date</w:t>
      </w:r>
    </w:p>
    <w:p w:rsidR="00E5116B" w:rsidRPr="00E5116B" w:rsidRDefault="00E5116B" w:rsidP="00E5116B">
      <w:pPr>
        <w:spacing w:after="0"/>
        <w:jc w:val="center"/>
        <w:rPr>
          <w:rFonts w:cs="Times New Roman"/>
          <w:szCs w:val="24"/>
          <w:shd w:val="clear" w:color="auto" w:fill="FDFDFD"/>
        </w:rPr>
      </w:pPr>
      <w:bookmarkStart w:id="0" w:name="_GoBack"/>
      <w:r w:rsidRPr="00E5116B">
        <w:rPr>
          <w:rFonts w:cs="Times New Roman"/>
          <w:szCs w:val="24"/>
          <w:shd w:val="clear" w:color="auto" w:fill="FFFFFF"/>
        </w:rPr>
        <w:t>A History of Class Struggle</w:t>
      </w:r>
    </w:p>
    <w:bookmarkEnd w:id="0"/>
    <w:p w:rsidR="00334D44" w:rsidRPr="00334D44" w:rsidRDefault="00334D44" w:rsidP="00E5116B">
      <w:pPr>
        <w:spacing w:after="0"/>
        <w:ind w:firstLine="360"/>
        <w:jc w:val="both"/>
        <w:rPr>
          <w:rFonts w:cs="Times New Roman"/>
          <w:shd w:val="clear" w:color="auto" w:fill="FDFDFD"/>
        </w:rPr>
      </w:pPr>
      <w:r w:rsidRPr="00334D44">
        <w:rPr>
          <w:rFonts w:cs="Times New Roman"/>
          <w:shd w:val="clear" w:color="auto" w:fill="FDFDFD"/>
        </w:rPr>
        <w:t>The Protestant Reformation was a vast liturgiology mutiny in Europe in opposition to the perversion and absolute authority assumed by the Roman Catholic Church. Those who opposed the Catholic Church included Martin Luther, Ulrich Zwingli, and John Calvin. They all revolted against practices that they considered unbiblical to resume sound biblical doctrine. The Catholics believed in apostolic progression and thought the pope was impeccable, and because of these, they placed the teachings and culture of the church equal to scripture. Such beliefs were significant highlights of the contrast brewing between the Roman Catholics and Protestants and constituted the critical points that lead to the Protestant Reformation.</w:t>
      </w:r>
    </w:p>
    <w:p w:rsidR="00334D44" w:rsidRPr="00334D44" w:rsidRDefault="00334D44" w:rsidP="00E5116B">
      <w:pPr>
        <w:spacing w:after="0"/>
        <w:ind w:firstLine="360"/>
        <w:jc w:val="both"/>
        <w:rPr>
          <w:rFonts w:cs="Times New Roman"/>
          <w:shd w:val="clear" w:color="auto" w:fill="FDFDFD"/>
        </w:rPr>
      </w:pPr>
      <w:r w:rsidRPr="00334D44">
        <w:rPr>
          <w:rFonts w:cs="Times New Roman"/>
          <w:shd w:val="clear" w:color="auto" w:fill="FDFDFD"/>
        </w:rPr>
        <w:t>The resistance to the teachings that were perceived as false from the Roman Catholic Church was earmarked in the 16th century when Luther using the Ninety-five theses</w:t>
      </w:r>
      <w:r w:rsidR="00CF2D89">
        <w:rPr>
          <w:rFonts w:cs="Times New Roman"/>
          <w:shd w:val="clear" w:color="auto" w:fill="FDFDFD"/>
        </w:rPr>
        <w:t xml:space="preserve"> </w:t>
      </w:r>
      <w:sdt>
        <w:sdtPr>
          <w:rPr>
            <w:rFonts w:cs="Times New Roman"/>
            <w:shd w:val="clear" w:color="auto" w:fill="FDFDFD"/>
          </w:rPr>
          <w:id w:val="459084019"/>
          <w:citation/>
        </w:sdtPr>
        <w:sdtEndPr/>
        <w:sdtContent>
          <w:r w:rsidR="00CF2D89">
            <w:rPr>
              <w:rFonts w:cs="Times New Roman"/>
              <w:shd w:val="clear" w:color="auto" w:fill="FDFDFD"/>
            </w:rPr>
            <w:fldChar w:fldCharType="begin"/>
          </w:r>
          <w:r w:rsidR="00CF2D89">
            <w:rPr>
              <w:rFonts w:cs="Times New Roman"/>
              <w:shd w:val="clear" w:color="auto" w:fill="FDFDFD"/>
            </w:rPr>
            <w:instrText xml:space="preserve"> CITATION Cul16 \l 1033 </w:instrText>
          </w:r>
          <w:r w:rsidR="00CF2D89">
            <w:rPr>
              <w:rFonts w:cs="Times New Roman"/>
              <w:shd w:val="clear" w:color="auto" w:fill="FDFDFD"/>
            </w:rPr>
            <w:fldChar w:fldCharType="separate"/>
          </w:r>
          <w:r w:rsidR="00CF2D89" w:rsidRPr="00CF2D89">
            <w:rPr>
              <w:rFonts w:cs="Times New Roman"/>
              <w:noProof/>
              <w:shd w:val="clear" w:color="auto" w:fill="FDFDFD"/>
            </w:rPr>
            <w:t>(Culp and Kuswa)</w:t>
          </w:r>
          <w:r w:rsidR="00CF2D89">
            <w:rPr>
              <w:rFonts w:cs="Times New Roman"/>
              <w:shd w:val="clear" w:color="auto" w:fill="FDFDFD"/>
            </w:rPr>
            <w:fldChar w:fldCharType="end"/>
          </w:r>
        </w:sdtContent>
      </w:sdt>
      <w:r w:rsidRPr="00334D44">
        <w:rPr>
          <w:rFonts w:cs="Times New Roman"/>
          <w:shd w:val="clear" w:color="auto" w:fill="FDFDFD"/>
        </w:rPr>
        <w:t xml:space="preserve">, disputed the power granted to the pope and the selling of indulgences. Opposing the call to change, the Roman Catholic Church was determined to stifle the reformers. As the Protestant Reform took off, new beliefs emerged as churches, and formed the four significant Protestantism dissensions: Followers of Luther conceived the Lutheran </w:t>
      </w:r>
      <w:r w:rsidR="00CF2D89" w:rsidRPr="00334D44">
        <w:rPr>
          <w:rFonts w:cs="Times New Roman"/>
          <w:shd w:val="clear" w:color="auto" w:fill="FDFDFD"/>
        </w:rPr>
        <w:t>Church;</w:t>
      </w:r>
      <w:r w:rsidRPr="00334D44">
        <w:rPr>
          <w:rFonts w:cs="Times New Roman"/>
          <w:shd w:val="clear" w:color="auto" w:fill="FDFDFD"/>
        </w:rPr>
        <w:t xml:space="preserve"> the Reformed Church appeared from devotees of Calvin, the Presbyterian Church was designed by Knox's followers using Calvinistic doctrine, and, later, the Anglican Church reformed in England. The basics of the Protestant Reformation believed in five crucial convergences of ideas within the biblical doctrine that served to divide their beliefs from those of the Roman Catholicism</w:t>
      </w:r>
      <w:r w:rsidR="00CF2D89">
        <w:rPr>
          <w:rFonts w:cs="Times New Roman"/>
          <w:shd w:val="clear" w:color="auto" w:fill="FDFDFD"/>
        </w:rPr>
        <w:t xml:space="preserve"> </w:t>
      </w:r>
      <w:sdt>
        <w:sdtPr>
          <w:rPr>
            <w:rFonts w:cs="Times New Roman"/>
            <w:shd w:val="clear" w:color="auto" w:fill="FDFDFD"/>
          </w:rPr>
          <w:id w:val="-881399608"/>
          <w:citation/>
        </w:sdtPr>
        <w:sdtEndPr/>
        <w:sdtContent>
          <w:r w:rsidR="00CF2D89">
            <w:rPr>
              <w:rFonts w:cs="Times New Roman"/>
              <w:shd w:val="clear" w:color="auto" w:fill="FDFDFD"/>
            </w:rPr>
            <w:fldChar w:fldCharType="begin"/>
          </w:r>
          <w:r w:rsidR="00CF2D89">
            <w:rPr>
              <w:rFonts w:cs="Times New Roman"/>
              <w:shd w:val="clear" w:color="auto" w:fill="FDFDFD"/>
            </w:rPr>
            <w:instrText xml:space="preserve"> CITATION Bec16 \l 1033 </w:instrText>
          </w:r>
          <w:r w:rsidR="00CF2D89">
            <w:rPr>
              <w:rFonts w:cs="Times New Roman"/>
              <w:shd w:val="clear" w:color="auto" w:fill="FDFDFD"/>
            </w:rPr>
            <w:fldChar w:fldCharType="separate"/>
          </w:r>
          <w:r w:rsidR="00CF2D89" w:rsidRPr="00CF2D89">
            <w:rPr>
              <w:rFonts w:cs="Times New Roman"/>
              <w:noProof/>
              <w:shd w:val="clear" w:color="auto" w:fill="FDFDFD"/>
            </w:rPr>
            <w:t>(Becker, Plaff and Rubin)</w:t>
          </w:r>
          <w:r w:rsidR="00CF2D89">
            <w:rPr>
              <w:rFonts w:cs="Times New Roman"/>
              <w:shd w:val="clear" w:color="auto" w:fill="FDFDFD"/>
            </w:rPr>
            <w:fldChar w:fldCharType="end"/>
          </w:r>
        </w:sdtContent>
      </w:sdt>
      <w:r w:rsidRPr="00334D44">
        <w:rPr>
          <w:rFonts w:cs="Times New Roman"/>
          <w:shd w:val="clear" w:color="auto" w:fill="FDFDFD"/>
        </w:rPr>
        <w:t xml:space="preserve">. They are </w:t>
      </w:r>
      <w:r w:rsidRPr="00334D44">
        <w:rPr>
          <w:rFonts w:cs="Times New Roman"/>
          <w:shd w:val="clear" w:color="auto" w:fill="FDFDFD"/>
        </w:rPr>
        <w:lastRenderedPageBreak/>
        <w:t>the reason that spanned the Protestant Reformation and highlighted what the reformers' meant by a return to biblical teaching.</w:t>
      </w:r>
    </w:p>
    <w:p w:rsidR="00334D44" w:rsidRPr="00CF2D89" w:rsidRDefault="00334D44" w:rsidP="00E5116B">
      <w:pPr>
        <w:pStyle w:val="ListParagraph"/>
        <w:numPr>
          <w:ilvl w:val="0"/>
          <w:numId w:val="2"/>
        </w:numPr>
        <w:spacing w:after="0"/>
        <w:jc w:val="both"/>
        <w:rPr>
          <w:rFonts w:cs="Times New Roman"/>
          <w:shd w:val="clear" w:color="auto" w:fill="FDFDFD"/>
        </w:rPr>
      </w:pPr>
      <w:r w:rsidRPr="00CF2D89">
        <w:rPr>
          <w:rFonts w:cs="Times New Roman"/>
          <w:shd w:val="clear" w:color="auto" w:fill="FDFDFD"/>
        </w:rPr>
        <w:t>Sola Scriptura, "Scripture Alone." The Bible is the solitary jurisdiction for everything regarding faith and customs, and as such is the caliber by which all teachings and traditions are measured.</w:t>
      </w:r>
    </w:p>
    <w:p w:rsidR="00334D44" w:rsidRPr="00CF2D89" w:rsidRDefault="00334D44" w:rsidP="00E5116B">
      <w:pPr>
        <w:pStyle w:val="ListParagraph"/>
        <w:numPr>
          <w:ilvl w:val="0"/>
          <w:numId w:val="2"/>
        </w:numPr>
        <w:spacing w:after="0"/>
        <w:jc w:val="both"/>
        <w:rPr>
          <w:rFonts w:cs="Times New Roman"/>
          <w:shd w:val="clear" w:color="auto" w:fill="FDFDFD"/>
        </w:rPr>
      </w:pPr>
      <w:r w:rsidRPr="00CF2D89">
        <w:rPr>
          <w:rFonts w:cs="Times New Roman"/>
          <w:shd w:val="clear" w:color="auto" w:fill="FDFDFD"/>
        </w:rPr>
        <w:t>Sola Gratia, "Salvation by Grace Alone." Salvation is evidence of God's favor. His grace, rather than our actions, is sufficient to rescue us from His wrath.</w:t>
      </w:r>
    </w:p>
    <w:p w:rsidR="00334D44" w:rsidRPr="00CF2D89" w:rsidRDefault="00334D44" w:rsidP="00E5116B">
      <w:pPr>
        <w:pStyle w:val="ListParagraph"/>
        <w:numPr>
          <w:ilvl w:val="0"/>
          <w:numId w:val="2"/>
        </w:numPr>
        <w:spacing w:after="0"/>
        <w:jc w:val="both"/>
        <w:rPr>
          <w:rFonts w:cs="Times New Roman"/>
          <w:shd w:val="clear" w:color="auto" w:fill="FDFDFD"/>
        </w:rPr>
      </w:pPr>
      <w:r w:rsidRPr="00CF2D89">
        <w:rPr>
          <w:rFonts w:cs="Times New Roman"/>
          <w:shd w:val="clear" w:color="auto" w:fill="FDFDFD"/>
        </w:rPr>
        <w:t>Sola Fide, "Salvation by Faith Alone." Faith in Christ is sufficient justification for teaching, without interference from the Law.</w:t>
      </w:r>
    </w:p>
    <w:p w:rsidR="00334D44" w:rsidRPr="00CF2D89" w:rsidRDefault="00334D44" w:rsidP="00E5116B">
      <w:pPr>
        <w:pStyle w:val="ListParagraph"/>
        <w:numPr>
          <w:ilvl w:val="0"/>
          <w:numId w:val="2"/>
        </w:numPr>
        <w:spacing w:after="0"/>
        <w:jc w:val="both"/>
        <w:rPr>
          <w:rFonts w:cs="Times New Roman"/>
          <w:shd w:val="clear" w:color="auto" w:fill="FDFDFD"/>
        </w:rPr>
      </w:pPr>
      <w:r w:rsidRPr="00CF2D89">
        <w:rPr>
          <w:rFonts w:cs="Times New Roman"/>
          <w:shd w:val="clear" w:color="auto" w:fill="FDFDFD"/>
        </w:rPr>
        <w:t>Solus Christus, "In Christ Alone." Jesus Christ alone can save us, but no other person or any deed can. Jesus' substitutionary death on the cross is enough for us to reconcile with God the Father.</w:t>
      </w:r>
    </w:p>
    <w:p w:rsidR="00334D44" w:rsidRPr="00CF2D89" w:rsidRDefault="00334D44" w:rsidP="00E5116B">
      <w:pPr>
        <w:pStyle w:val="ListParagraph"/>
        <w:numPr>
          <w:ilvl w:val="0"/>
          <w:numId w:val="2"/>
        </w:numPr>
        <w:spacing w:after="0"/>
        <w:jc w:val="both"/>
        <w:rPr>
          <w:rFonts w:cs="Times New Roman"/>
          <w:shd w:val="clear" w:color="auto" w:fill="FDFDFD"/>
        </w:rPr>
      </w:pPr>
      <w:r w:rsidRPr="00CF2D89">
        <w:rPr>
          <w:rFonts w:cs="Times New Roman"/>
          <w:shd w:val="clear" w:color="auto" w:fill="FDFDFD"/>
        </w:rPr>
        <w:t>Soli Deo Gloria, "For the Glory of God Alone." Our salvation comes from God and was instituted by his. All glory goes to him.</w:t>
      </w:r>
    </w:p>
    <w:p w:rsidR="00CF2D89" w:rsidRDefault="00334D44" w:rsidP="00E5116B">
      <w:pPr>
        <w:spacing w:after="0"/>
        <w:ind w:firstLine="360"/>
        <w:jc w:val="both"/>
        <w:rPr>
          <w:rFonts w:cs="Times New Roman"/>
          <w:shd w:val="clear" w:color="auto" w:fill="FDFDFD"/>
        </w:rPr>
      </w:pPr>
      <w:r w:rsidRPr="00334D44">
        <w:rPr>
          <w:rFonts w:cs="Times New Roman"/>
          <w:shd w:val="clear" w:color="auto" w:fill="FDFDFD"/>
        </w:rPr>
        <w:t>The social classes that struggled that precipitated the Protestant Reformation were the Lutheran Church, Reformed Church, Presbyterian Church, and the Anglican Church, but many more exist. These groups all revolted against the Roman Catholic Church and won the Reformation struggle.</w:t>
      </w:r>
    </w:p>
    <w:p w:rsidR="00CF2D89" w:rsidRDefault="00CF2D89" w:rsidP="00E5116B">
      <w:pPr>
        <w:spacing w:after="0"/>
        <w:jc w:val="both"/>
        <w:rPr>
          <w:rFonts w:cs="Times New Roman"/>
          <w:shd w:val="clear" w:color="auto" w:fill="FDFDFD"/>
        </w:rPr>
      </w:pPr>
      <w:r>
        <w:rPr>
          <w:rFonts w:cs="Times New Roman"/>
          <w:shd w:val="clear" w:color="auto" w:fill="FDFDFD"/>
        </w:rPr>
        <w:br w:type="page"/>
      </w:r>
    </w:p>
    <w:sdt>
      <w:sdtPr>
        <w:rPr>
          <w:rFonts w:ascii="Times New Roman" w:eastAsiaTheme="minorHAnsi" w:hAnsi="Times New Roman" w:cstheme="minorBidi"/>
          <w:b w:val="0"/>
          <w:bCs w:val="0"/>
          <w:color w:val="auto"/>
          <w:sz w:val="24"/>
          <w:szCs w:val="22"/>
          <w:lang w:eastAsia="en-US"/>
        </w:rPr>
        <w:id w:val="108097722"/>
        <w:docPartObj>
          <w:docPartGallery w:val="Bibliographies"/>
          <w:docPartUnique/>
        </w:docPartObj>
      </w:sdtPr>
      <w:sdtEndPr/>
      <w:sdtContent>
        <w:p w:rsidR="00CF2D89" w:rsidRPr="00CF2D89" w:rsidRDefault="00CF2D89" w:rsidP="00E5116B">
          <w:pPr>
            <w:pStyle w:val="Heading1"/>
            <w:spacing w:before="0" w:line="480" w:lineRule="auto"/>
            <w:jc w:val="center"/>
            <w:rPr>
              <w:rFonts w:ascii="Times New Roman" w:hAnsi="Times New Roman" w:cs="Times New Roman"/>
              <w:b w:val="0"/>
              <w:color w:val="auto"/>
              <w:sz w:val="24"/>
            </w:rPr>
          </w:pPr>
          <w:r w:rsidRPr="00CF2D89">
            <w:rPr>
              <w:rFonts w:ascii="Times New Roman" w:hAnsi="Times New Roman" w:cs="Times New Roman"/>
              <w:b w:val="0"/>
              <w:color w:val="auto"/>
              <w:sz w:val="24"/>
            </w:rPr>
            <w:t>Works Cited</w:t>
          </w:r>
        </w:p>
        <w:p w:rsidR="00CF2D89" w:rsidRDefault="00CF2D89" w:rsidP="00E5116B">
          <w:pPr>
            <w:pStyle w:val="Bibliography"/>
            <w:spacing w:after="0"/>
            <w:ind w:left="720" w:hanging="720"/>
            <w:rPr>
              <w:noProof/>
            </w:rPr>
          </w:pPr>
          <w:r>
            <w:fldChar w:fldCharType="begin"/>
          </w:r>
          <w:r>
            <w:instrText xml:space="preserve"> BIBLIOGRAPHY </w:instrText>
          </w:r>
          <w:r>
            <w:fldChar w:fldCharType="separate"/>
          </w:r>
          <w:r>
            <w:rPr>
              <w:noProof/>
            </w:rPr>
            <w:t xml:space="preserve">Becker, Sascha O., Steven Plaff and James Rubin. "Causes and consequences of the Protestant Reformation." </w:t>
          </w:r>
          <w:r>
            <w:rPr>
              <w:i/>
              <w:iCs/>
              <w:noProof/>
            </w:rPr>
            <w:t>Explorations in Economic History</w:t>
          </w:r>
          <w:r>
            <w:rPr>
              <w:noProof/>
            </w:rPr>
            <w:t xml:space="preserve"> 62 (2016): 1-25.</w:t>
          </w:r>
        </w:p>
        <w:p w:rsidR="00CF2D89" w:rsidRDefault="00CF2D89" w:rsidP="00E5116B">
          <w:pPr>
            <w:pStyle w:val="Bibliography"/>
            <w:spacing w:after="0"/>
            <w:ind w:left="720" w:hanging="720"/>
            <w:rPr>
              <w:noProof/>
            </w:rPr>
          </w:pPr>
          <w:r>
            <w:rPr>
              <w:noProof/>
            </w:rPr>
            <w:t xml:space="preserve">Culp, Andrew and Kevin Kuswa. "Signs of protest rhetoric: From Logos to logistics in Luther's Ninety-Five Theses." </w:t>
          </w:r>
          <w:r>
            <w:rPr>
              <w:i/>
              <w:iCs/>
              <w:noProof/>
            </w:rPr>
            <w:t>Quarterly Journal of Speech</w:t>
          </w:r>
          <w:r>
            <w:rPr>
              <w:noProof/>
            </w:rPr>
            <w:t xml:space="preserve"> 102.2 (2016): 150-165.</w:t>
          </w:r>
        </w:p>
        <w:p w:rsidR="00CF2D89" w:rsidRDefault="00CF2D89" w:rsidP="00E5116B">
          <w:pPr>
            <w:spacing w:after="0"/>
          </w:pPr>
          <w:r>
            <w:rPr>
              <w:b/>
              <w:bCs/>
            </w:rPr>
            <w:fldChar w:fldCharType="end"/>
          </w:r>
        </w:p>
      </w:sdtContent>
    </w:sdt>
    <w:p w:rsidR="0046491A" w:rsidRPr="00334D44" w:rsidRDefault="0046491A" w:rsidP="00E5116B">
      <w:pPr>
        <w:spacing w:after="0"/>
        <w:ind w:firstLine="360"/>
      </w:pPr>
    </w:p>
    <w:sectPr w:rsidR="0046491A" w:rsidRPr="00334D44" w:rsidSect="00CF2D89">
      <w:headerReference w:type="default" r:id="rId8"/>
      <w:headerReference w:type="firs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55C" w:rsidRDefault="008F655C" w:rsidP="00CF2D89">
      <w:pPr>
        <w:spacing w:after="0" w:line="240" w:lineRule="auto"/>
      </w:pPr>
      <w:r>
        <w:separator/>
      </w:r>
    </w:p>
  </w:endnote>
  <w:endnote w:type="continuationSeparator" w:id="0">
    <w:p w:rsidR="008F655C" w:rsidRDefault="008F655C" w:rsidP="00CF2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55C" w:rsidRDefault="008F655C" w:rsidP="00CF2D89">
      <w:pPr>
        <w:spacing w:after="0" w:line="240" w:lineRule="auto"/>
      </w:pPr>
      <w:r>
        <w:separator/>
      </w:r>
    </w:p>
  </w:footnote>
  <w:footnote w:type="continuationSeparator" w:id="0">
    <w:p w:rsidR="008F655C" w:rsidRDefault="008F655C" w:rsidP="00CF2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D89" w:rsidRDefault="00CF2D89">
    <w:pPr>
      <w:pStyle w:val="Header"/>
      <w:jc w:val="right"/>
    </w:pPr>
    <w:r>
      <w:t xml:space="preserve">Surname </w:t>
    </w:r>
    <w:sdt>
      <w:sdtPr>
        <w:id w:val="11099418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116B">
          <w:rPr>
            <w:noProof/>
          </w:rPr>
          <w:t>1</w:t>
        </w:r>
        <w:r>
          <w:rPr>
            <w:noProof/>
          </w:rPr>
          <w:fldChar w:fldCharType="end"/>
        </w:r>
      </w:sdtContent>
    </w:sdt>
  </w:p>
  <w:p w:rsidR="00CF2D89" w:rsidRDefault="00CF2D8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D89" w:rsidRDefault="00CF2D89">
    <w:pPr>
      <w:pStyle w:val="Header"/>
      <w:jc w:val="right"/>
    </w:pPr>
    <w:r>
      <w:t>Running Head: PROTESTANT REFORMATION</w:t>
    </w:r>
    <w:r>
      <w:tab/>
    </w:r>
    <w:sdt>
      <w:sdtPr>
        <w:id w:val="18474370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F2D89" w:rsidRDefault="00CF2D8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948C3"/>
    <w:multiLevelType w:val="hybridMultilevel"/>
    <w:tmpl w:val="8F0077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AEF3930"/>
    <w:multiLevelType w:val="hybridMultilevel"/>
    <w:tmpl w:val="095204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6C"/>
    <w:rsid w:val="00334D44"/>
    <w:rsid w:val="003D3D2C"/>
    <w:rsid w:val="0046491A"/>
    <w:rsid w:val="00513C96"/>
    <w:rsid w:val="0062733D"/>
    <w:rsid w:val="006C4663"/>
    <w:rsid w:val="006E6D27"/>
    <w:rsid w:val="007E4B34"/>
    <w:rsid w:val="0085616C"/>
    <w:rsid w:val="008B25D1"/>
    <w:rsid w:val="008F655C"/>
    <w:rsid w:val="009245F0"/>
    <w:rsid w:val="00CF2D89"/>
    <w:rsid w:val="00E5116B"/>
    <w:rsid w:val="00EE7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D54FC"/>
  <w15:docId w15:val="{86BC7ECA-2BA8-4FC0-BFA1-319EF4BC8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2D8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4663"/>
    <w:rPr>
      <w:color w:val="0000FF"/>
      <w:u w:val="single"/>
    </w:rPr>
  </w:style>
  <w:style w:type="paragraph" w:styleId="ListParagraph">
    <w:name w:val="List Paragraph"/>
    <w:basedOn w:val="Normal"/>
    <w:uiPriority w:val="34"/>
    <w:qFormat/>
    <w:rsid w:val="006C4663"/>
    <w:pPr>
      <w:ind w:left="720"/>
      <w:contextualSpacing/>
    </w:pPr>
  </w:style>
  <w:style w:type="paragraph" w:styleId="Header">
    <w:name w:val="header"/>
    <w:basedOn w:val="Normal"/>
    <w:link w:val="HeaderChar"/>
    <w:uiPriority w:val="99"/>
    <w:unhideWhenUsed/>
    <w:rsid w:val="00CF2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D89"/>
  </w:style>
  <w:style w:type="paragraph" w:styleId="Footer">
    <w:name w:val="footer"/>
    <w:basedOn w:val="Normal"/>
    <w:link w:val="FooterChar"/>
    <w:uiPriority w:val="99"/>
    <w:unhideWhenUsed/>
    <w:rsid w:val="00CF2D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D89"/>
  </w:style>
  <w:style w:type="character" w:customStyle="1" w:styleId="Heading1Char">
    <w:name w:val="Heading 1 Char"/>
    <w:basedOn w:val="DefaultParagraphFont"/>
    <w:link w:val="Heading1"/>
    <w:uiPriority w:val="9"/>
    <w:rsid w:val="00CF2D89"/>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CF2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D89"/>
    <w:rPr>
      <w:rFonts w:ascii="Tahoma" w:hAnsi="Tahoma" w:cs="Tahoma"/>
      <w:sz w:val="16"/>
      <w:szCs w:val="16"/>
    </w:rPr>
  </w:style>
  <w:style w:type="paragraph" w:styleId="Bibliography">
    <w:name w:val="Bibliography"/>
    <w:basedOn w:val="Normal"/>
    <w:next w:val="Normal"/>
    <w:uiPriority w:val="37"/>
    <w:unhideWhenUsed/>
    <w:rsid w:val="00CF2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Cul16</b:Tag>
    <b:SourceType>JournalArticle</b:SourceType>
    <b:Guid>{BBF7A868-6F1D-459D-9E92-C088C9E7F968}</b:Guid>
    <b:Title>Signs of protest rhetoric: From Logos to logistics in Luther's Ninety-Five Theses</b:Title>
    <b:JournalName>Quarterly Journal of Speech</b:JournalName>
    <b:Year>2016</b:Year>
    <b:Pages>150-165</b:Pages>
    <b:Author>
      <b:Author>
        <b:NameList>
          <b:Person>
            <b:Last>Culp</b:Last>
            <b:First>Andrew</b:First>
          </b:Person>
          <b:Person>
            <b:Last>Kuswa</b:Last>
            <b:First>Kevin</b:First>
          </b:Person>
        </b:NameList>
      </b:Author>
    </b:Author>
    <b:Volume>102</b:Volume>
    <b:Issue>2</b:Issue>
    <b:RefOrder>1</b:RefOrder>
  </b:Source>
  <b:Source>
    <b:Tag>Bec16</b:Tag>
    <b:SourceType>JournalArticle</b:SourceType>
    <b:Guid>{E7A7BF43-3261-4272-B04C-949CA56333B8}</b:Guid>
    <b:Title>Causes and consequences of the Protestant Reformation</b:Title>
    <b:JournalName>Explorations in Economic History</b:JournalName>
    <b:Year>2016</b:Year>
    <b:Pages>1-25</b:Pages>
    <b:Author>
      <b:Author>
        <b:NameList>
          <b:Person>
            <b:Last>Becker</b:Last>
            <b:Middle>O.</b:Middle>
            <b:First>Sascha</b:First>
          </b:Person>
          <b:Person>
            <b:Last>Plaff</b:Last>
            <b:First>Steven</b:First>
          </b:Person>
          <b:Person>
            <b:Last>Rubin</b:Last>
            <b:First>James</b:First>
          </b:Person>
        </b:NameList>
      </b:Author>
    </b:Author>
    <b:Volume>62</b:Volume>
    <b:RefOrder>2</b:RefOrder>
  </b:Source>
</b:Sources>
</file>

<file path=customXml/itemProps1.xml><?xml version="1.0" encoding="utf-8"?>
<ds:datastoreItem xmlns:ds="http://schemas.openxmlformats.org/officeDocument/2006/customXml" ds:itemID="{272EF621-A34D-4638-80AB-916029AB6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2019-04-01T12:38:00Z</dcterms:created>
  <dcterms:modified xsi:type="dcterms:W3CDTF">2019-04-01T12:38:00Z</dcterms:modified>
</cp:coreProperties>
</file>